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C594" w14:textId="77777777" w:rsidR="009A7689" w:rsidRDefault="006811E5">
      <w:pPr>
        <w:rPr>
          <w:rFonts w:ascii="ＭＳ Ｐ明朝" w:eastAsia="ＭＳ Ｐ明朝" w:hAnsi="ＭＳ Ｐ明朝" w:cs="ＭＳ Ｐ明朝"/>
          <w:sz w:val="20"/>
          <w:szCs w:val="20"/>
        </w:rPr>
      </w:pPr>
      <w:bookmarkStart w:id="0" w:name="_heading=h.gjdgxs" w:colFirst="0" w:colLast="0"/>
      <w:bookmarkEnd w:id="0"/>
      <w:r>
        <w:rPr>
          <w:rFonts w:ascii="ＭＳ Ｐ明朝" w:eastAsia="ＭＳ Ｐ明朝" w:hAnsi="ＭＳ Ｐ明朝" w:cs="ＭＳ Ｐ明朝"/>
          <w:sz w:val="20"/>
          <w:szCs w:val="20"/>
        </w:rPr>
        <w:t>NEWS RELEASE</w:t>
      </w:r>
    </w:p>
    <w:p w14:paraId="1A7FA053" w14:textId="77777777" w:rsidR="009A7689" w:rsidRDefault="006811E5">
      <w:pPr>
        <w:jc w:val="righ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2022年9月26日</w:t>
      </w:r>
    </w:p>
    <w:p w14:paraId="2D3656A9" w14:textId="77777777" w:rsidR="009A7689" w:rsidRDefault="006811E5">
      <w:pP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報道関係者各位</w:t>
      </w:r>
    </w:p>
    <w:p w14:paraId="18A76850" w14:textId="77777777" w:rsidR="009A7689" w:rsidRDefault="006811E5">
      <w:pPr>
        <w:jc w:val="righ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ジョイポート淡路島株式会社</w:t>
      </w:r>
    </w:p>
    <w:p w14:paraId="69599383" w14:textId="77777777" w:rsidR="009A7689" w:rsidRDefault="006811E5">
      <w:pPr>
        <w:jc w:val="center"/>
        <w:rPr>
          <w:rFonts w:ascii="Gothic A1" w:eastAsia="Gothic A1" w:hAnsi="Gothic A1" w:cs="Gothic A1"/>
          <w:sz w:val="20"/>
          <w:szCs w:val="20"/>
        </w:rPr>
      </w:pPr>
      <w:r>
        <w:rPr>
          <w:rFonts w:ascii="Gothic A1" w:eastAsia="Gothic A1" w:hAnsi="Gothic A1" w:cs="Gothic A1"/>
          <w:sz w:val="20"/>
          <w:szCs w:val="20"/>
        </w:rPr>
        <w:t>============================================================</w:t>
      </w:r>
    </w:p>
    <w:p w14:paraId="2C7CE940" w14:textId="77777777" w:rsidR="009A7689" w:rsidRDefault="006811E5">
      <w:pPr>
        <w:jc w:val="center"/>
        <w:rPr>
          <w:rFonts w:ascii="ＭＳ Ｐ明朝" w:eastAsia="ＭＳ Ｐ明朝" w:hAnsi="ＭＳ Ｐ明朝" w:cs="ＭＳ Ｐ明朝"/>
          <w:sz w:val="36"/>
          <w:szCs w:val="36"/>
        </w:rPr>
      </w:pPr>
      <w:r>
        <w:rPr>
          <w:rFonts w:ascii="ＭＳ Ｐ明朝" w:eastAsia="ＭＳ Ｐ明朝" w:hAnsi="ＭＳ Ｐ明朝" w:cs="ＭＳ Ｐ明朝"/>
          <w:sz w:val="36"/>
          <w:szCs w:val="36"/>
        </w:rPr>
        <w:t>「クルーズ体験×地域の魅力」を発見!</w:t>
      </w:r>
    </w:p>
    <w:p w14:paraId="4F0CFBDD" w14:textId="77777777" w:rsidR="009A7689" w:rsidRDefault="006811E5">
      <w:pPr>
        <w:jc w:val="center"/>
        <w:rPr>
          <w:rFonts w:ascii="ＭＳ Ｐ明朝" w:eastAsia="ＭＳ Ｐ明朝" w:hAnsi="ＭＳ Ｐ明朝" w:cs="ＭＳ Ｐ明朝"/>
          <w:b/>
          <w:sz w:val="52"/>
          <w:szCs w:val="52"/>
        </w:rPr>
      </w:pPr>
      <w:r>
        <w:rPr>
          <w:rFonts w:ascii="ＭＳ Ｐ明朝" w:eastAsia="ＭＳ Ｐ明朝" w:hAnsi="ＭＳ Ｐ明朝" w:cs="ＭＳ Ｐ明朝"/>
          <w:b/>
          <w:sz w:val="52"/>
          <w:szCs w:val="52"/>
          <w:highlight w:val="white"/>
        </w:rPr>
        <w:t>クルージングツーリズムモニターツアー開催</w:t>
      </w:r>
    </w:p>
    <w:p w14:paraId="40272F4B" w14:textId="77777777" w:rsidR="009A7689" w:rsidRDefault="006811E5">
      <w:pPr>
        <w:jc w:val="center"/>
        <w:rPr>
          <w:rFonts w:ascii="ＭＳ Ｐ明朝" w:eastAsia="ＭＳ Ｐ明朝" w:hAnsi="ＭＳ Ｐ明朝" w:cs="ＭＳ Ｐ明朝"/>
          <w:sz w:val="36"/>
          <w:szCs w:val="36"/>
        </w:rPr>
      </w:pPr>
      <w:r>
        <w:rPr>
          <w:rFonts w:ascii="ＭＳ Ｐ明朝" w:eastAsia="ＭＳ Ｐ明朝" w:hAnsi="ＭＳ Ｐ明朝" w:cs="ＭＳ Ｐ明朝"/>
          <w:sz w:val="36"/>
          <w:szCs w:val="36"/>
        </w:rPr>
        <w:t>淡路島・うずしおクルーズ&amp;明石海峡大橋クルーズ</w:t>
      </w:r>
    </w:p>
    <w:p w14:paraId="3A4E1A33" w14:textId="77777777" w:rsidR="009A7689" w:rsidRDefault="006811E5">
      <w:pPr>
        <w:jc w:val="center"/>
        <w:rPr>
          <w:rFonts w:ascii="Gothic A1" w:eastAsia="Gothic A1" w:hAnsi="Gothic A1" w:cs="Gothic A1"/>
          <w:sz w:val="20"/>
          <w:szCs w:val="20"/>
        </w:rPr>
      </w:pPr>
      <w:r>
        <w:rPr>
          <w:rFonts w:ascii="Gothic A1" w:eastAsia="Gothic A1" w:hAnsi="Gothic A1" w:cs="Gothic A1"/>
          <w:sz w:val="20"/>
          <w:szCs w:val="20"/>
        </w:rPr>
        <w:t>============================================================</w:t>
      </w:r>
    </w:p>
    <w:p w14:paraId="614FFB14"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rPr>
        <w:t>「うずしおクルーズ」「明石海峡大橋クルーズ」を運営するジョイポート淡路島株式会社(所在地:兵庫県南あわじ市福良、代表取締役:鎌田勝義)</w:t>
      </w:r>
      <w:r>
        <w:rPr>
          <w:rFonts w:ascii="ＭＳ Ｐ明朝" w:eastAsia="ＭＳ Ｐ明朝" w:hAnsi="ＭＳ Ｐ明朝" w:cs="ＭＳ Ｐ明朝"/>
          <w:sz w:val="20"/>
          <w:szCs w:val="20"/>
          <w:highlight w:val="white"/>
        </w:rPr>
        <w:t>では、淡路島におけるクルージングツーリズムのさらなる促進のため、「福良港と岩屋港エリア」をベースとしたクルージングツーリズムモニターツアーを開催します。</w:t>
      </w:r>
    </w:p>
    <w:p w14:paraId="54602553" w14:textId="77777777" w:rsidR="009A7689" w:rsidRDefault="009A7689">
      <w:pPr>
        <w:jc w:val="left"/>
        <w:rPr>
          <w:rFonts w:ascii="ＭＳ Ｐ明朝" w:eastAsia="ＭＳ Ｐ明朝" w:hAnsi="ＭＳ Ｐ明朝" w:cs="ＭＳ Ｐ明朝"/>
          <w:sz w:val="20"/>
          <w:szCs w:val="20"/>
          <w:highlight w:val="white"/>
        </w:rPr>
      </w:pPr>
    </w:p>
    <w:p w14:paraId="0784D30C"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■企画背景</w:t>
      </w:r>
    </w:p>
    <w:p w14:paraId="0DA12A6F"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神戸市と明石市の宿泊施設及び淡路島内の宿泊・観光施設のスタッフを対象に、うずしおクルーズを中心とした「福良港エリア」と、明石海峡大橋クルーズを中心とした「岩屋港エリア」での観光体験をしていただき、観光資源の創出と各施設において観光客にとって有益な情報を発信してもらい、地域との交流人口を増やすことを目指し、延いては地域経済活性化を期待し企画しました。開催終了後は当ツアーの効果検証を行い、ツアー内容のブラッシュアップを図ることで継続的に実施できるような体制を構築してまいります。</w:t>
      </w:r>
    </w:p>
    <w:p w14:paraId="7AE5AB34" w14:textId="77777777" w:rsidR="009A7689" w:rsidRDefault="009A7689">
      <w:pPr>
        <w:jc w:val="left"/>
        <w:rPr>
          <w:rFonts w:ascii="ＭＳ Ｐ明朝" w:eastAsia="ＭＳ Ｐ明朝" w:hAnsi="ＭＳ Ｐ明朝" w:cs="ＭＳ Ｐ明朝"/>
          <w:sz w:val="20"/>
          <w:szCs w:val="20"/>
          <w:highlight w:val="white"/>
        </w:rPr>
      </w:pPr>
    </w:p>
    <w:p w14:paraId="57E5E3A6"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■モニターツアー概要</w:t>
      </w:r>
    </w:p>
    <w:p w14:paraId="295B3797" w14:textId="77777777" w:rsidR="009A7689" w:rsidRDefault="006811E5">
      <w:pPr>
        <w:jc w:val="left"/>
        <w:rPr>
          <w:rFonts w:ascii="ＭＳ Ｐ明朝" w:eastAsia="ＭＳ Ｐ明朝" w:hAnsi="ＭＳ Ｐ明朝" w:cs="ＭＳ Ｐ明朝"/>
          <w:sz w:val="20"/>
          <w:szCs w:val="20"/>
          <w:highlight w:val="white"/>
          <w:u w:val="single"/>
        </w:rPr>
      </w:pPr>
      <w:r>
        <w:rPr>
          <w:rFonts w:ascii="ＭＳ Ｐ明朝" w:eastAsia="ＭＳ Ｐ明朝" w:hAnsi="ＭＳ Ｐ明朝" w:cs="ＭＳ Ｐ明朝"/>
          <w:sz w:val="20"/>
          <w:szCs w:val="20"/>
          <w:highlight w:val="white"/>
          <w:u w:val="single"/>
        </w:rPr>
        <w:t>「福良港エリア・うずしおクルーズコース」</w:t>
      </w:r>
    </w:p>
    <w:p w14:paraId="2B705EFE"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開催日：2022年10月11日(火)　 10時30分～16時00分、11月10日(木) 　9時30分～15時00分</w:t>
      </w:r>
    </w:p>
    <w:p w14:paraId="10F90686"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場所：南あわじ市福良港うずしおドームなないろ館（道の駅福良）</w:t>
      </w:r>
    </w:p>
    <w:p w14:paraId="3C7C0AC3"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内容：うずしおクルーズ乗船、淡路人形座観賞、チャレンジモール福良CAP昼食＆スイーツ、福良港周辺で食べ歩き＆まち歩き</w:t>
      </w:r>
    </w:p>
    <w:p w14:paraId="7DB5AAA3" w14:textId="77777777" w:rsidR="009A7689" w:rsidRDefault="009A7689">
      <w:pPr>
        <w:jc w:val="left"/>
        <w:rPr>
          <w:rFonts w:ascii="ＭＳ Ｐ明朝" w:eastAsia="ＭＳ Ｐ明朝" w:hAnsi="ＭＳ Ｐ明朝" w:cs="ＭＳ Ｐ明朝"/>
          <w:sz w:val="20"/>
          <w:szCs w:val="20"/>
          <w:highlight w:val="white"/>
        </w:rPr>
      </w:pPr>
    </w:p>
    <w:p w14:paraId="3D601A37" w14:textId="77777777" w:rsidR="009A7689" w:rsidRDefault="006811E5">
      <w:pPr>
        <w:jc w:val="left"/>
        <w:rPr>
          <w:rFonts w:ascii="ＭＳ Ｐ明朝" w:eastAsia="ＭＳ Ｐ明朝" w:hAnsi="ＭＳ Ｐ明朝" w:cs="ＭＳ Ｐ明朝"/>
          <w:sz w:val="20"/>
          <w:szCs w:val="20"/>
          <w:highlight w:val="white"/>
          <w:u w:val="single"/>
        </w:rPr>
      </w:pPr>
      <w:r>
        <w:rPr>
          <w:rFonts w:ascii="ＭＳ Ｐ明朝" w:eastAsia="ＭＳ Ｐ明朝" w:hAnsi="ＭＳ Ｐ明朝" w:cs="ＭＳ Ｐ明朝"/>
          <w:sz w:val="20"/>
          <w:szCs w:val="20"/>
          <w:highlight w:val="white"/>
          <w:u w:val="single"/>
        </w:rPr>
        <w:t>「岩屋港エリア・明石海峡大橋クルーズコース」</w:t>
      </w:r>
    </w:p>
    <w:p w14:paraId="2ADA7225"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日時：2022年10月11日(火)、11月15日(火)  10時30分～16時00分</w:t>
      </w:r>
    </w:p>
    <w:p w14:paraId="1959B7D5"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場所：淡路市岩屋1414-3（岩屋港）</w:t>
      </w:r>
    </w:p>
    <w:p w14:paraId="21EE174F"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内容：明石海峡大橋クルーズ乗船、淡路タコステ昼食、岩屋商店街、道の駅あわじで食べ歩き＆まち歩き</w:t>
      </w:r>
    </w:p>
    <w:p w14:paraId="4600FCA1" w14:textId="77777777" w:rsidR="009A7689" w:rsidRDefault="009A7689">
      <w:pPr>
        <w:jc w:val="left"/>
        <w:rPr>
          <w:rFonts w:ascii="ＭＳ Ｐ明朝" w:eastAsia="ＭＳ Ｐ明朝" w:hAnsi="ＭＳ Ｐ明朝" w:cs="ＭＳ Ｐ明朝"/>
          <w:sz w:val="20"/>
          <w:szCs w:val="20"/>
          <w:highlight w:val="white"/>
        </w:rPr>
      </w:pPr>
    </w:p>
    <w:p w14:paraId="2EE8788B"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参加料：無料</w:t>
      </w:r>
    </w:p>
    <w:p w14:paraId="27652DFC"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募集定員：各日程30名様</w:t>
      </w:r>
    </w:p>
    <w:p w14:paraId="6FA1ECF1" w14:textId="77777777" w:rsidR="009A7689" w:rsidRDefault="009A7689">
      <w:pPr>
        <w:jc w:val="left"/>
        <w:rPr>
          <w:rFonts w:ascii="ＭＳ Ｐ明朝" w:eastAsia="ＭＳ Ｐ明朝" w:hAnsi="ＭＳ Ｐ明朝" w:cs="ＭＳ Ｐ明朝"/>
          <w:sz w:val="20"/>
          <w:szCs w:val="20"/>
          <w:highlight w:val="white"/>
        </w:rPr>
      </w:pPr>
    </w:p>
    <w:p w14:paraId="320BD5EF" w14:textId="482FAF5F"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■モニターツアー参加条件</w:t>
      </w:r>
    </w:p>
    <w:p w14:paraId="0B1AF962"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・神戸市と明石市の宿泊施設及び淡路島内の宿泊観光施設のスタッフ。</w:t>
      </w:r>
    </w:p>
    <w:p w14:paraId="24DDE9FD" w14:textId="477A67CD"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・ご参加いただくにあたり、その様子を取材や撮影をさせていただきます。取材時の写真、インタビューコメントな</w:t>
      </w:r>
      <w:r w:rsidR="0018247D">
        <w:rPr>
          <w:rFonts w:ascii="ＭＳ Ｐ明朝" w:eastAsia="ＭＳ Ｐ明朝" w:hAnsi="ＭＳ Ｐ明朝" w:cs="ＭＳ Ｐ明朝" w:hint="eastAsia"/>
          <w:sz w:val="20"/>
          <w:szCs w:val="20"/>
        </w:rPr>
        <w:t>ど</w:t>
      </w:r>
      <w:r>
        <w:rPr>
          <w:rFonts w:ascii="ＭＳ Ｐ明朝" w:eastAsia="ＭＳ Ｐ明朝" w:hAnsi="ＭＳ Ｐ明朝" w:cs="ＭＳ Ｐ明朝"/>
          <w:sz w:val="20"/>
          <w:szCs w:val="20"/>
        </w:rPr>
        <w:t>は関係各社のWEBサイトやSNS等で紹介、PR素材としての二次利用させていただく場合があります。</w:t>
      </w:r>
    </w:p>
    <w:p w14:paraId="70664A07"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・終了後に実施されるアンケートへの回答をお願いいたします。</w:t>
      </w:r>
    </w:p>
    <w:p w14:paraId="1F32D473"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・健康上の心配がない方に限らせて頂きます。</w:t>
      </w:r>
    </w:p>
    <w:p w14:paraId="7C0CF473"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・アレルギー等でお召し上がりになれない食材がございましたらお申込時にお聞かせください。</w:t>
      </w:r>
    </w:p>
    <w:p w14:paraId="180AD438" w14:textId="77777777" w:rsidR="009A7689" w:rsidRDefault="009A7689">
      <w:pPr>
        <w:jc w:val="left"/>
        <w:rPr>
          <w:rFonts w:ascii="ＭＳ Ｐ明朝" w:eastAsia="ＭＳ Ｐ明朝" w:hAnsi="ＭＳ Ｐ明朝" w:cs="ＭＳ Ｐ明朝"/>
          <w:sz w:val="20"/>
          <w:szCs w:val="20"/>
        </w:rPr>
      </w:pPr>
    </w:p>
    <w:p w14:paraId="727C264F"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■ご予約・行程詳細</w:t>
      </w:r>
    </w:p>
    <w:p w14:paraId="1FD686DC"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WEBから（ご希望のコースの二次元バーコードを読み取り、お申込みください）</w:t>
      </w:r>
    </w:p>
    <w:p w14:paraId="0400579A" w14:textId="77777777" w:rsidR="009A7689" w:rsidRDefault="006811E5">
      <w:pPr>
        <w:jc w:val="left"/>
        <w:rPr>
          <w:rFonts w:ascii="ＭＳ Ｐ明朝" w:eastAsia="ＭＳ Ｐ明朝" w:hAnsi="ＭＳ Ｐ明朝" w:cs="ＭＳ Ｐ明朝"/>
          <w:sz w:val="20"/>
          <w:szCs w:val="20"/>
          <w:highlight w:val="white"/>
        </w:rPr>
      </w:pPr>
      <w:r>
        <w:rPr>
          <w:rFonts w:ascii="ＭＳ Ｐ明朝" w:eastAsia="ＭＳ Ｐ明朝" w:hAnsi="ＭＳ Ｐ明朝" w:cs="ＭＳ Ｐ明朝"/>
          <w:sz w:val="20"/>
          <w:szCs w:val="20"/>
          <w:highlight w:val="white"/>
        </w:rPr>
        <w:t>募集締切：開催日の3日前まで</w:t>
      </w:r>
    </w:p>
    <w:tbl>
      <w:tblPr>
        <w:tblStyle w:val="af2"/>
        <w:tblW w:w="37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7"/>
        <w:gridCol w:w="1868"/>
      </w:tblGrid>
      <w:tr w:rsidR="009A7689" w14:paraId="57F125BA" w14:textId="77777777">
        <w:trPr>
          <w:trHeight w:val="1363"/>
        </w:trPr>
        <w:tc>
          <w:tcPr>
            <w:tcW w:w="1867" w:type="dxa"/>
            <w:shd w:val="clear" w:color="auto" w:fill="auto"/>
            <w:tcMar>
              <w:top w:w="100" w:type="dxa"/>
              <w:left w:w="100" w:type="dxa"/>
              <w:bottom w:w="100" w:type="dxa"/>
              <w:right w:w="100" w:type="dxa"/>
            </w:tcMar>
          </w:tcPr>
          <w:p w14:paraId="1C2D72D5" w14:textId="77777777" w:rsidR="009A7689" w:rsidRDefault="006811E5">
            <w:pPr>
              <w:jc w:val="center"/>
              <w:rPr>
                <w:rFonts w:ascii="ＭＳ Ｐ明朝" w:eastAsia="ＭＳ Ｐ明朝" w:hAnsi="ＭＳ Ｐ明朝" w:cs="ＭＳ Ｐ明朝"/>
                <w:sz w:val="20"/>
                <w:szCs w:val="20"/>
                <w:highlight w:val="white"/>
              </w:rPr>
            </w:pPr>
            <w:r>
              <w:rPr>
                <w:rFonts w:ascii="ＭＳ Ｐ明朝" w:eastAsia="ＭＳ Ｐ明朝" w:hAnsi="ＭＳ Ｐ明朝" w:cs="ＭＳ Ｐ明朝"/>
                <w:noProof/>
                <w:sz w:val="20"/>
                <w:szCs w:val="20"/>
                <w:highlight w:val="white"/>
              </w:rPr>
              <w:drawing>
                <wp:inline distT="0" distB="0" distL="0" distR="0" wp14:anchorId="341E2664" wp14:editId="03B397E2">
                  <wp:extent cx="709200" cy="791426"/>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709200" cy="791426"/>
                          </a:xfrm>
                          <a:prstGeom prst="rect">
                            <a:avLst/>
                          </a:prstGeom>
                          <a:ln/>
                        </pic:spPr>
                      </pic:pic>
                    </a:graphicData>
                  </a:graphic>
                </wp:inline>
              </w:drawing>
            </w:r>
          </w:p>
        </w:tc>
        <w:tc>
          <w:tcPr>
            <w:tcW w:w="1868" w:type="dxa"/>
            <w:shd w:val="clear" w:color="auto" w:fill="auto"/>
            <w:tcMar>
              <w:top w:w="100" w:type="dxa"/>
              <w:left w:w="100" w:type="dxa"/>
              <w:bottom w:w="100" w:type="dxa"/>
              <w:right w:w="100" w:type="dxa"/>
            </w:tcMar>
          </w:tcPr>
          <w:p w14:paraId="169B1E96" w14:textId="77777777" w:rsidR="009A7689" w:rsidRDefault="006811E5">
            <w:pPr>
              <w:pBdr>
                <w:top w:val="nil"/>
                <w:left w:val="nil"/>
                <w:bottom w:val="nil"/>
                <w:right w:val="nil"/>
                <w:between w:val="nil"/>
              </w:pBdr>
              <w:jc w:val="center"/>
              <w:rPr>
                <w:rFonts w:ascii="ＭＳ Ｐ明朝" w:eastAsia="ＭＳ Ｐ明朝" w:hAnsi="ＭＳ Ｐ明朝" w:cs="ＭＳ Ｐ明朝"/>
                <w:sz w:val="20"/>
                <w:szCs w:val="20"/>
                <w:highlight w:val="white"/>
              </w:rPr>
            </w:pPr>
            <w:r>
              <w:rPr>
                <w:rFonts w:ascii="ＭＳ Ｐ明朝" w:eastAsia="ＭＳ Ｐ明朝" w:hAnsi="ＭＳ Ｐ明朝" w:cs="ＭＳ Ｐ明朝"/>
                <w:noProof/>
                <w:sz w:val="20"/>
                <w:szCs w:val="20"/>
                <w:highlight w:val="white"/>
              </w:rPr>
              <w:drawing>
                <wp:inline distT="0" distB="0" distL="0" distR="0" wp14:anchorId="1BD66C81" wp14:editId="0C0D5B92">
                  <wp:extent cx="709200" cy="781148"/>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09200" cy="781148"/>
                          </a:xfrm>
                          <a:prstGeom prst="rect">
                            <a:avLst/>
                          </a:prstGeom>
                          <a:ln/>
                        </pic:spPr>
                      </pic:pic>
                    </a:graphicData>
                  </a:graphic>
                </wp:inline>
              </w:drawing>
            </w:r>
          </w:p>
        </w:tc>
      </w:tr>
    </w:tbl>
    <w:p w14:paraId="5941241D"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※二次元バーコードが読み取れない方はコチラ</w:t>
      </w:r>
    </w:p>
    <w:p w14:paraId="33135AAE"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うずしおクルーズホームページURL　https://www.uzu-shio.com/event/8820</w:t>
      </w:r>
    </w:p>
    <w:p w14:paraId="088A9F81"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明石海峡大橋クルーズホームページURL　https://awajisima-cruise.com/news/1601/</w:t>
      </w:r>
    </w:p>
    <w:p w14:paraId="4915C69E" w14:textId="77777777" w:rsidR="009A7689" w:rsidRDefault="009A7689">
      <w:pPr>
        <w:jc w:val="left"/>
        <w:rPr>
          <w:rFonts w:ascii="ＭＳ Ｐ明朝" w:eastAsia="ＭＳ Ｐ明朝" w:hAnsi="ＭＳ Ｐ明朝" w:cs="ＭＳ Ｐ明朝"/>
          <w:sz w:val="20"/>
          <w:szCs w:val="20"/>
        </w:rPr>
      </w:pPr>
    </w:p>
    <w:p w14:paraId="6371826C" w14:textId="77777777" w:rsidR="009A7689" w:rsidRDefault="006811E5">
      <w:pPr>
        <w:jc w:val="left"/>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【お問い合わせ先】</w:t>
      </w:r>
    </w:p>
    <w:p w14:paraId="14A56013" w14:textId="77777777" w:rsidR="009A7689" w:rsidRDefault="006811E5">
      <w:pP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ジョイポート淡路島株式会社 (担当　南山)</w:t>
      </w:r>
    </w:p>
    <w:p w14:paraId="27636F87" w14:textId="77777777" w:rsidR="009A7689" w:rsidRDefault="006811E5">
      <w:pP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〒656-0501 兵庫県南あわじ市福良港うずしおドームなないろ館</w:t>
      </w:r>
    </w:p>
    <w:p w14:paraId="2CBA517B" w14:textId="77777777" w:rsidR="009A7689" w:rsidRDefault="006811E5">
      <w:pPr>
        <w:rPr>
          <w:rFonts w:ascii="ＭＳ Ｐ明朝" w:eastAsia="ＭＳ Ｐ明朝" w:hAnsi="ＭＳ Ｐ明朝" w:cs="ＭＳ Ｐ明朝"/>
          <w:sz w:val="20"/>
          <w:szCs w:val="20"/>
        </w:rPr>
      </w:pPr>
      <w:r>
        <w:rPr>
          <w:rFonts w:ascii="ＭＳ Ｐ明朝" w:eastAsia="ＭＳ Ｐ明朝" w:hAnsi="ＭＳ Ｐ明朝" w:cs="ＭＳ Ｐ明朝"/>
          <w:sz w:val="20"/>
          <w:szCs w:val="20"/>
        </w:rPr>
        <w:t xml:space="preserve">電話 0799-52-0054　FAX 0799-52-3081　メールアドレス </w:t>
      </w:r>
      <w:hyperlink r:id="rId7">
        <w:r>
          <w:rPr>
            <w:rFonts w:ascii="ＭＳ Ｐ明朝" w:eastAsia="ＭＳ Ｐ明朝" w:hAnsi="ＭＳ Ｐ明朝" w:cs="ＭＳ Ｐ明朝"/>
            <w:sz w:val="20"/>
            <w:szCs w:val="20"/>
          </w:rPr>
          <w:t>minamiyama@uzu-shio.com</w:t>
        </w:r>
      </w:hyperlink>
    </w:p>
    <w:p w14:paraId="02D4A172" w14:textId="77777777" w:rsidR="009A7689" w:rsidRDefault="006811E5">
      <w:pPr>
        <w:jc w:val="center"/>
        <w:rPr>
          <w:rFonts w:ascii="ＭＳ Ｐ明朝" w:eastAsia="ＭＳ Ｐ明朝" w:hAnsi="ＭＳ Ｐ明朝" w:cs="ＭＳ Ｐ明朝"/>
          <w:sz w:val="24"/>
          <w:szCs w:val="24"/>
        </w:rPr>
      </w:pPr>
      <w:r>
        <w:rPr>
          <w:rFonts w:ascii="ＭＳ Ｐ明朝" w:eastAsia="ＭＳ Ｐ明朝" w:hAnsi="ＭＳ Ｐ明朝" w:cs="ＭＳ Ｐ明朝"/>
          <w:noProof/>
          <w:sz w:val="24"/>
          <w:szCs w:val="24"/>
        </w:rPr>
        <w:lastRenderedPageBreak/>
        <w:drawing>
          <wp:inline distT="114300" distB="114300" distL="114300" distR="114300" wp14:anchorId="777EA72F" wp14:editId="50E0AA4A">
            <wp:extent cx="7013213" cy="5616431"/>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013213" cy="5616431"/>
                    </a:xfrm>
                    <a:prstGeom prst="rect">
                      <a:avLst/>
                    </a:prstGeom>
                    <a:ln/>
                  </pic:spPr>
                </pic:pic>
              </a:graphicData>
            </a:graphic>
          </wp:inline>
        </w:drawing>
      </w:r>
    </w:p>
    <w:p w14:paraId="32424A03" w14:textId="77777777" w:rsidR="009A7689" w:rsidRDefault="006811E5">
      <w:pPr>
        <w:jc w:val="center"/>
        <w:rPr>
          <w:rFonts w:ascii="ＭＳ Ｐ明朝" w:eastAsia="ＭＳ Ｐ明朝" w:hAnsi="ＭＳ Ｐ明朝" w:cs="ＭＳ Ｐ明朝"/>
          <w:sz w:val="24"/>
          <w:szCs w:val="24"/>
        </w:rPr>
      </w:pPr>
      <w:r>
        <w:rPr>
          <w:rFonts w:ascii="ＭＳ Ｐ明朝" w:eastAsia="ＭＳ Ｐ明朝" w:hAnsi="ＭＳ Ｐ明朝" w:cs="ＭＳ Ｐ明朝"/>
          <w:sz w:val="24"/>
          <w:szCs w:val="24"/>
        </w:rPr>
        <w:t>ビジュアルイメージ</w:t>
      </w:r>
    </w:p>
    <w:sectPr w:rsidR="009A7689">
      <w:pgSz w:w="11906" w:h="16838"/>
      <w:pgMar w:top="283" w:right="566" w:bottom="283" w:left="566"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Gothic A1">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689"/>
    <w:rsid w:val="0018247D"/>
    <w:rsid w:val="006811E5"/>
    <w:rsid w:val="009A7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CFC6FC"/>
  <w15:docId w15:val="{BBAF7D25-DD3F-46E8-AF03-3A074F00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048C"/>
    <w:rPr>
      <w:rFonts w:eastAsia="ＭＳ 明朝"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header"/>
    <w:basedOn w:val="a"/>
    <w:link w:val="a5"/>
    <w:uiPriority w:val="99"/>
    <w:unhideWhenUsed/>
    <w:rsid w:val="009B1630"/>
    <w:pPr>
      <w:tabs>
        <w:tab w:val="center" w:pos="4252"/>
        <w:tab w:val="right" w:pos="8504"/>
      </w:tabs>
      <w:snapToGrid w:val="0"/>
    </w:pPr>
  </w:style>
  <w:style w:type="character" w:customStyle="1" w:styleId="a5">
    <w:name w:val="ヘッダー (文字)"/>
    <w:basedOn w:val="a0"/>
    <w:link w:val="a4"/>
    <w:uiPriority w:val="99"/>
    <w:rsid w:val="009B1630"/>
    <w:rPr>
      <w:rFonts w:ascii="Century" w:eastAsia="ＭＳ 明朝" w:hAnsi="Century" w:cs="Times New Roman"/>
    </w:rPr>
  </w:style>
  <w:style w:type="paragraph" w:styleId="a6">
    <w:name w:val="footer"/>
    <w:basedOn w:val="a"/>
    <w:link w:val="a7"/>
    <w:uiPriority w:val="99"/>
    <w:unhideWhenUsed/>
    <w:rsid w:val="009B1630"/>
    <w:pPr>
      <w:tabs>
        <w:tab w:val="center" w:pos="4252"/>
        <w:tab w:val="right" w:pos="8504"/>
      </w:tabs>
      <w:snapToGrid w:val="0"/>
    </w:pPr>
  </w:style>
  <w:style w:type="character" w:customStyle="1" w:styleId="a7">
    <w:name w:val="フッター (文字)"/>
    <w:basedOn w:val="a0"/>
    <w:link w:val="a6"/>
    <w:uiPriority w:val="99"/>
    <w:rsid w:val="009B1630"/>
    <w:rPr>
      <w:rFonts w:ascii="Century" w:eastAsia="ＭＳ 明朝" w:hAnsi="Century" w:cs="Times New Roman"/>
    </w:rPr>
  </w:style>
  <w:style w:type="paragraph" w:styleId="a8">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9">
    <w:basedOn w:val="TableNormalf1"/>
    <w:tblPr>
      <w:tblStyleRowBandSize w:val="1"/>
      <w:tblStyleColBandSize w:val="1"/>
      <w:tblCellMar>
        <w:top w:w="100" w:type="dxa"/>
        <w:left w:w="100" w:type="dxa"/>
        <w:bottom w:w="100" w:type="dxa"/>
        <w:right w:w="100" w:type="dxa"/>
      </w:tblCellMar>
    </w:tblPr>
  </w:style>
  <w:style w:type="paragraph" w:styleId="aa">
    <w:name w:val="Balloon Text"/>
    <w:basedOn w:val="a"/>
    <w:link w:val="ab"/>
    <w:uiPriority w:val="99"/>
    <w:semiHidden/>
    <w:unhideWhenUsed/>
    <w:rsid w:val="0034359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4359A"/>
    <w:rPr>
      <w:rFonts w:asciiTheme="majorHAnsi" w:eastAsiaTheme="majorEastAsia" w:hAnsiTheme="majorHAnsi" w:cstheme="majorBidi"/>
      <w:sz w:val="18"/>
      <w:szCs w:val="18"/>
    </w:rPr>
  </w:style>
  <w:style w:type="table" w:customStyle="1" w:styleId="ac">
    <w:basedOn w:val="TableNormalf1"/>
    <w:tblPr>
      <w:tblStyleRowBandSize w:val="1"/>
      <w:tblStyleColBandSize w:val="1"/>
      <w:tblCellMar>
        <w:top w:w="100" w:type="dxa"/>
        <w:left w:w="100" w:type="dxa"/>
        <w:bottom w:w="100" w:type="dxa"/>
        <w:right w:w="100" w:type="dxa"/>
      </w:tblCellMar>
    </w:tblPr>
  </w:style>
  <w:style w:type="table" w:customStyle="1" w:styleId="ad">
    <w:basedOn w:val="TableNormalf1"/>
    <w:tblPr>
      <w:tblStyleRowBandSize w:val="1"/>
      <w:tblStyleColBandSize w:val="1"/>
      <w:tblCellMar>
        <w:top w:w="100" w:type="dxa"/>
        <w:left w:w="100" w:type="dxa"/>
        <w:bottom w:w="100" w:type="dxa"/>
        <w:right w:w="100" w:type="dxa"/>
      </w:tblCellMar>
    </w:tblPr>
  </w:style>
  <w:style w:type="table" w:customStyle="1" w:styleId="ae">
    <w:basedOn w:val="TableNormalf1"/>
    <w:tblPr>
      <w:tblStyleRowBandSize w:val="1"/>
      <w:tblStyleColBandSize w:val="1"/>
      <w:tblCellMar>
        <w:top w:w="100" w:type="dxa"/>
        <w:left w:w="100" w:type="dxa"/>
        <w:bottom w:w="100" w:type="dxa"/>
        <w:right w:w="100" w:type="dxa"/>
      </w:tblCellMar>
    </w:tblPr>
  </w:style>
  <w:style w:type="table" w:customStyle="1" w:styleId="af">
    <w:basedOn w:val="TableNormalf1"/>
    <w:tblPr>
      <w:tblStyleRowBandSize w:val="1"/>
      <w:tblStyleColBandSize w:val="1"/>
      <w:tblCellMar>
        <w:top w:w="100" w:type="dxa"/>
        <w:left w:w="100" w:type="dxa"/>
        <w:bottom w:w="100" w:type="dxa"/>
        <w:right w:w="100" w:type="dxa"/>
      </w:tblCellMar>
    </w:tblPr>
  </w:style>
  <w:style w:type="table" w:customStyle="1" w:styleId="af0">
    <w:basedOn w:val="TableNormalf1"/>
    <w:tblPr>
      <w:tblStyleRowBandSize w:val="1"/>
      <w:tblStyleColBandSize w:val="1"/>
      <w:tblCellMar>
        <w:top w:w="100" w:type="dxa"/>
        <w:left w:w="100" w:type="dxa"/>
        <w:bottom w:w="100" w:type="dxa"/>
        <w:right w:w="100" w:type="dxa"/>
      </w:tblCellMar>
    </w:tblPr>
  </w:style>
  <w:style w:type="table" w:customStyle="1" w:styleId="af1">
    <w:basedOn w:val="TableNormalf1"/>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inamiyama@uzu-shio.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g+96uFzpttsQwCzPLXIR9ruu7g==">AMUW2mUtTA6nEOyADs/ZcFkHf+C9dmhcukZjCf3AsgzBd7n5eqGaDUsF7GSQXis1V7pi57+YgXWYnGFUmqMAYu/O/pNp6vvyaxdN6cN3Mg7EElAb3lZh8CaAncsyPMKmsb3R+sKirvtw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239</Words>
  <Characters>1365</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joyport</dc:creator>
  <cp:lastModifiedBy>hatsuda satoru</cp:lastModifiedBy>
  <cp:revision>3</cp:revision>
  <dcterms:created xsi:type="dcterms:W3CDTF">2022-09-25T04:11:00Z</dcterms:created>
  <dcterms:modified xsi:type="dcterms:W3CDTF">2022-09-25T07:42:00Z</dcterms:modified>
</cp:coreProperties>
</file>