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6F" w:rsidRPr="0089741C" w:rsidRDefault="00882D6F" w:rsidP="00F0508A">
      <w:pPr>
        <w:rPr>
          <w:rFonts w:asciiTheme="minorEastAsia" w:hAnsiTheme="minorEastAsia"/>
        </w:rPr>
      </w:pPr>
      <w:r w:rsidRPr="0089741C">
        <w:rPr>
          <w:rFonts w:asciiTheme="minorEastAsia" w:hAnsiTheme="minorEastAsia" w:hint="eastAsia"/>
          <w:noProof/>
        </w:rPr>
        <w:drawing>
          <wp:inline distT="0" distB="0" distL="0" distR="0">
            <wp:extent cx="2895600" cy="485775"/>
            <wp:effectExtent l="19050" t="0" r="0" b="0"/>
            <wp:docPr id="3" name="図 2" descr="rogo_comm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o_common.gif"/>
                    <pic:cNvPicPr/>
                  </pic:nvPicPr>
                  <pic:blipFill>
                    <a:blip r:embed="rId7" cstate="print"/>
                    <a:stretch>
                      <a:fillRect/>
                    </a:stretch>
                  </pic:blipFill>
                  <pic:spPr>
                    <a:xfrm>
                      <a:off x="0" y="0"/>
                      <a:ext cx="2895600" cy="485775"/>
                    </a:xfrm>
                    <a:prstGeom prst="rect">
                      <a:avLst/>
                    </a:prstGeom>
                  </pic:spPr>
                </pic:pic>
              </a:graphicData>
            </a:graphic>
          </wp:inline>
        </w:drawing>
      </w:r>
    </w:p>
    <w:p w:rsidR="00882D6F" w:rsidRPr="0089741C" w:rsidRDefault="00882D6F" w:rsidP="00C2728E">
      <w:pPr>
        <w:jc w:val="distribute"/>
        <w:rPr>
          <w:rFonts w:asciiTheme="minorEastAsia" w:hAnsiTheme="minorEastAsia"/>
        </w:rPr>
      </w:pPr>
    </w:p>
    <w:p w:rsidR="00882D6F" w:rsidRPr="0089741C" w:rsidRDefault="007D07A0" w:rsidP="0089741C">
      <w:pPr>
        <w:jc w:val="center"/>
        <w:rPr>
          <w:rFonts w:asciiTheme="minorEastAsia" w:hAnsiTheme="minorEastAsia"/>
          <w:b/>
          <w:sz w:val="24"/>
          <w:szCs w:val="24"/>
        </w:rPr>
      </w:pPr>
      <w:r w:rsidRPr="0089741C">
        <w:rPr>
          <w:rFonts w:asciiTheme="minorEastAsia" w:hAnsiTheme="minorEastAsia" w:hint="eastAsia"/>
          <w:b/>
          <w:sz w:val="24"/>
          <w:szCs w:val="24"/>
        </w:rPr>
        <w:t>2015年度 オリコン顧客満足度(CS)ランキング</w:t>
      </w:r>
    </w:p>
    <w:p w:rsidR="007D07A0" w:rsidRPr="0089741C" w:rsidRDefault="007D07A0" w:rsidP="0089741C">
      <w:pPr>
        <w:jc w:val="center"/>
        <w:rPr>
          <w:rFonts w:asciiTheme="minorEastAsia" w:hAnsiTheme="minorEastAsia"/>
          <w:b/>
          <w:sz w:val="24"/>
          <w:szCs w:val="24"/>
        </w:rPr>
      </w:pPr>
      <w:r w:rsidRPr="0089741C">
        <w:rPr>
          <w:rFonts w:asciiTheme="minorEastAsia" w:hAnsiTheme="minorEastAsia" w:hint="eastAsia"/>
          <w:b/>
          <w:sz w:val="24"/>
          <w:szCs w:val="24"/>
        </w:rPr>
        <w:t>ネット証券部門「手数料の満足度」第１位！</w:t>
      </w:r>
    </w:p>
    <w:p w:rsidR="007D07A0" w:rsidRPr="0089741C" w:rsidRDefault="007D07A0" w:rsidP="0089741C">
      <w:pPr>
        <w:jc w:val="center"/>
        <w:rPr>
          <w:rFonts w:asciiTheme="minorEastAsia" w:hAnsiTheme="minorEastAsia"/>
          <w:b/>
          <w:sz w:val="24"/>
          <w:szCs w:val="24"/>
        </w:rPr>
      </w:pPr>
      <w:r w:rsidRPr="0089741C">
        <w:rPr>
          <w:rFonts w:asciiTheme="minorEastAsia" w:hAnsiTheme="minorEastAsia" w:hint="eastAsia"/>
          <w:b/>
          <w:sz w:val="24"/>
          <w:szCs w:val="24"/>
        </w:rPr>
        <w:t>～2014年度に続き2年連続で受賞～</w:t>
      </w:r>
    </w:p>
    <w:p w:rsidR="007D07A0" w:rsidRDefault="007D07A0" w:rsidP="00F0508A">
      <w:pPr>
        <w:rPr>
          <w:rFonts w:asciiTheme="minorEastAsia" w:hAnsiTheme="minorEastAsia"/>
        </w:rPr>
      </w:pPr>
    </w:p>
    <w:p w:rsidR="0089741C" w:rsidRPr="0089741C" w:rsidRDefault="001E5423" w:rsidP="00F0508A">
      <w:pPr>
        <w:rPr>
          <w:rFonts w:asciiTheme="minorEastAsia" w:hAnsiTheme="minorEastAsia"/>
        </w:rPr>
      </w:pPr>
      <w:r>
        <w:rPr>
          <w:rFonts w:asciiTheme="minorEastAsia" w:hAnsiTheme="minorEastAsia"/>
          <w:noProof/>
        </w:rPr>
        <w:pict>
          <v:shapetype id="_x0000_t32" coordsize="21600,21600" o:spt="32" o:oned="t" path="m,l21600,21600e" filled="f">
            <v:path arrowok="t" fillok="f" o:connecttype="none"/>
            <o:lock v:ext="edit" shapetype="t"/>
          </v:shapetype>
          <v:shape id="_x0000_s1027" type="#_x0000_t32" style="position:absolute;left:0;text-align:left;margin-left:2.2pt;margin-top:2pt;width:420.75pt;height:0;z-index:251659264" o:connectortype="straight"/>
        </w:pict>
      </w:r>
    </w:p>
    <w:p w:rsidR="00882D6F" w:rsidRDefault="007A7DE9" w:rsidP="00F0508A">
      <w:pPr>
        <w:rPr>
          <w:rFonts w:asciiTheme="minorEastAsia" w:hAnsiTheme="minorEastAsia" w:hint="eastAsia"/>
        </w:rPr>
      </w:pPr>
      <w:r w:rsidRPr="007A7DE9">
        <w:rPr>
          <w:rFonts w:asciiTheme="minorEastAsia" w:hAnsiTheme="minorEastAsia" w:hint="eastAsia"/>
        </w:rPr>
        <w:t>ライブスター証券は、オリコン株式会社主催の「2015年度　オリコン顧客満足度(CS)ランキング　ネット証券部門」において、「総合 第４位」、「手数料の満足度 第１位（２年連続）」を獲得いたしましたので、お知らせいたします。</w:t>
      </w:r>
    </w:p>
    <w:p w:rsidR="007A7DE9" w:rsidRPr="0089741C" w:rsidRDefault="007A7DE9" w:rsidP="00F0508A">
      <w:pPr>
        <w:rPr>
          <w:rFonts w:asciiTheme="minorEastAsia" w:hAnsiTheme="minorEastAsia"/>
        </w:rPr>
      </w:pPr>
    </w:p>
    <w:p w:rsidR="007D07A0" w:rsidRPr="0089741C" w:rsidRDefault="00882D6F" w:rsidP="00882D6F">
      <w:pPr>
        <w:jc w:val="center"/>
        <w:rPr>
          <w:rFonts w:asciiTheme="minorEastAsia" w:hAnsiTheme="minorEastAsia"/>
        </w:rPr>
      </w:pPr>
      <w:r w:rsidRPr="0089741C">
        <w:rPr>
          <w:rFonts w:asciiTheme="minorEastAsia" w:hAnsiTheme="minorEastAsia" w:hint="eastAsia"/>
          <w:noProof/>
        </w:rPr>
        <w:drawing>
          <wp:inline distT="0" distB="0" distL="0" distR="0">
            <wp:extent cx="1171575" cy="1409700"/>
            <wp:effectExtent l="19050" t="0" r="9525" b="0"/>
            <wp:docPr id="2" name="図 6" descr="C:\Users\t.yamaha\Desktop\oricon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yamaha\Desktop\oricon2015.png"/>
                    <pic:cNvPicPr>
                      <a:picLocks noChangeAspect="1" noChangeArrowheads="1"/>
                    </pic:cNvPicPr>
                  </pic:nvPicPr>
                  <pic:blipFill>
                    <a:blip r:embed="rId8" cstate="print"/>
                    <a:srcRect/>
                    <a:stretch>
                      <a:fillRect/>
                    </a:stretch>
                  </pic:blipFill>
                  <pic:spPr bwMode="auto">
                    <a:xfrm>
                      <a:off x="0" y="0"/>
                      <a:ext cx="1171575" cy="1409700"/>
                    </a:xfrm>
                    <a:prstGeom prst="rect">
                      <a:avLst/>
                    </a:prstGeom>
                    <a:noFill/>
                    <a:ln w="9525">
                      <a:noFill/>
                      <a:miter lim="800000"/>
                      <a:headEnd/>
                      <a:tailEnd/>
                    </a:ln>
                  </pic:spPr>
                </pic:pic>
              </a:graphicData>
            </a:graphic>
          </wp:inline>
        </w:drawing>
      </w:r>
    </w:p>
    <w:p w:rsidR="00882D6F" w:rsidRPr="0089741C" w:rsidRDefault="00882D6F" w:rsidP="00882D6F">
      <w:pPr>
        <w:jc w:val="center"/>
        <w:rPr>
          <w:rFonts w:asciiTheme="minorEastAsia" w:hAnsiTheme="minorEastAsia"/>
        </w:rPr>
      </w:pPr>
    </w:p>
    <w:p w:rsidR="007D07A0" w:rsidRPr="0089741C" w:rsidRDefault="007D07A0" w:rsidP="00A64A70">
      <w:pPr>
        <w:rPr>
          <w:rFonts w:asciiTheme="minorEastAsia" w:hAnsiTheme="minorEastAsia"/>
        </w:rPr>
      </w:pPr>
      <w:r w:rsidRPr="0089741C">
        <w:rPr>
          <w:rFonts w:asciiTheme="minorEastAsia" w:hAnsiTheme="minorEastAsia" w:hint="eastAsia"/>
        </w:rPr>
        <w:t>当社では「業界最高のサービス」「高性能でかつ安定した取引環境」「お客様目線でのシステム改善」を合言葉に「お客様の利便性向上」を追及してまいりました。</w:t>
      </w:r>
    </w:p>
    <w:p w:rsidR="00BF2212" w:rsidRDefault="007D07A0" w:rsidP="00A64A70">
      <w:pPr>
        <w:rPr>
          <w:rFonts w:asciiTheme="minorEastAsia" w:hAnsiTheme="minorEastAsia"/>
        </w:rPr>
      </w:pPr>
      <w:r w:rsidRPr="0089741C">
        <w:rPr>
          <w:rFonts w:asciiTheme="minorEastAsia" w:hAnsiTheme="minorEastAsia" w:hint="eastAsia"/>
        </w:rPr>
        <w:t>その結果、多くのお客様から</w:t>
      </w:r>
      <w:r w:rsidR="00882D6F" w:rsidRPr="0089741C">
        <w:rPr>
          <w:rFonts w:asciiTheme="minorEastAsia" w:hAnsiTheme="minorEastAsia" w:hint="eastAsia"/>
        </w:rPr>
        <w:t>ご支援・ご愛顧いただいた結果が、</w:t>
      </w:r>
      <w:r w:rsidRPr="0089741C">
        <w:rPr>
          <w:rFonts w:asciiTheme="minorEastAsia" w:hAnsiTheme="minorEastAsia" w:hint="eastAsia"/>
        </w:rPr>
        <w:t>「2015年度 オリコン顧客満足度ランキング（ネット証券）」にお</w:t>
      </w:r>
      <w:r w:rsidR="00882D6F" w:rsidRPr="0089741C">
        <w:rPr>
          <w:rFonts w:asciiTheme="minorEastAsia" w:hAnsiTheme="minorEastAsia" w:hint="eastAsia"/>
        </w:rPr>
        <w:t>ける</w:t>
      </w:r>
      <w:r w:rsidRPr="0089741C">
        <w:rPr>
          <w:rFonts w:asciiTheme="minorEastAsia" w:hAnsiTheme="minorEastAsia" w:hint="eastAsia"/>
        </w:rPr>
        <w:t>「総合第４位」、「手数料の満足度　第１位（２年連続）」</w:t>
      </w:r>
      <w:r w:rsidR="00882D6F" w:rsidRPr="0089741C">
        <w:rPr>
          <w:rFonts w:asciiTheme="minorEastAsia" w:hAnsiTheme="minorEastAsia" w:hint="eastAsia"/>
        </w:rPr>
        <w:t>の受賞に繋がったものと考えております。</w:t>
      </w:r>
    </w:p>
    <w:p w:rsidR="0089741C" w:rsidRDefault="0089741C" w:rsidP="00A64A70">
      <w:pPr>
        <w:rPr>
          <w:rFonts w:asciiTheme="minorEastAsia" w:hAnsiTheme="minorEastAsia"/>
        </w:rPr>
      </w:pPr>
    </w:p>
    <w:p w:rsidR="0089741C" w:rsidRPr="0089741C" w:rsidRDefault="0089741C" w:rsidP="00A64A70">
      <w:pPr>
        <w:rPr>
          <w:rFonts w:asciiTheme="minorEastAsia" w:hAnsiTheme="minorEastAsia"/>
        </w:rPr>
      </w:pPr>
      <w:r w:rsidRPr="0089741C">
        <w:rPr>
          <w:rFonts w:asciiTheme="minorEastAsia" w:hAnsiTheme="minorEastAsia" w:hint="eastAsia"/>
        </w:rPr>
        <w:t>今後もお客様本位の最高のサービスを提供すべく社員一丸となり邁進してまいりますので、一層のご愛顧、ご指導を賜りますようお願い申し上げます。</w:t>
      </w:r>
    </w:p>
    <w:p w:rsidR="0089741C" w:rsidRDefault="0089741C" w:rsidP="00F0508A">
      <w:pPr>
        <w:rPr>
          <w:rFonts w:asciiTheme="minorEastAsia" w:hAnsiTheme="minorEastAsia"/>
          <w:color w:val="333333"/>
          <w:szCs w:val="21"/>
        </w:rPr>
      </w:pPr>
    </w:p>
    <w:p w:rsidR="0089741C" w:rsidRDefault="001E5423" w:rsidP="00F0508A">
      <w:pPr>
        <w:rPr>
          <w:rFonts w:asciiTheme="minorEastAsia" w:hAnsiTheme="minorEastAsia"/>
          <w:color w:val="333333"/>
          <w:szCs w:val="21"/>
        </w:rPr>
      </w:pPr>
      <w:r>
        <w:rPr>
          <w:rFonts w:asciiTheme="minorEastAsia" w:hAnsiTheme="minorEastAsia"/>
          <w:noProof/>
          <w:color w:val="333333"/>
          <w:szCs w:val="21"/>
        </w:rPr>
        <w:pict>
          <v:shape id="_x0000_s1026" type="#_x0000_t32" style="position:absolute;left:0;text-align:left;margin-left:1.95pt;margin-top:11.75pt;width:420.75pt;height:0;z-index:251658240" o:connectortype="straight"/>
        </w:pict>
      </w:r>
    </w:p>
    <w:p w:rsidR="0089741C" w:rsidRDefault="0089741C" w:rsidP="00F0508A">
      <w:pPr>
        <w:rPr>
          <w:rFonts w:asciiTheme="minorEastAsia" w:hAnsiTheme="minorEastAsia"/>
          <w:color w:val="333333"/>
          <w:szCs w:val="21"/>
        </w:rPr>
      </w:pPr>
    </w:p>
    <w:p w:rsidR="00F0508A" w:rsidRPr="0089741C" w:rsidRDefault="00F0508A" w:rsidP="00F0508A">
      <w:pPr>
        <w:rPr>
          <w:rFonts w:asciiTheme="minorEastAsia" w:hAnsiTheme="minorEastAsia"/>
        </w:rPr>
      </w:pPr>
      <w:r w:rsidRPr="0089741C">
        <w:rPr>
          <w:rFonts w:asciiTheme="minorEastAsia" w:hAnsiTheme="minorEastAsia" w:hint="eastAsia"/>
        </w:rPr>
        <w:t>【株式会社ライブスター証券　概要】</w:t>
      </w:r>
    </w:p>
    <w:p w:rsidR="00F0508A" w:rsidRPr="0089741C" w:rsidRDefault="00F0508A" w:rsidP="00F0508A">
      <w:pPr>
        <w:rPr>
          <w:rFonts w:asciiTheme="minorEastAsia" w:hAnsiTheme="minorEastAsia"/>
        </w:rPr>
      </w:pPr>
      <w:r w:rsidRPr="0089741C">
        <w:rPr>
          <w:rFonts w:asciiTheme="minorEastAsia" w:hAnsiTheme="minorEastAsia" w:hint="eastAsia"/>
        </w:rPr>
        <w:t>登録番号：金融商品取引業者【関東財務局長（金商）第8号】</w:t>
      </w:r>
    </w:p>
    <w:p w:rsidR="00F0508A" w:rsidRPr="0089741C" w:rsidRDefault="00F0508A" w:rsidP="00F0508A">
      <w:pPr>
        <w:rPr>
          <w:rFonts w:asciiTheme="minorEastAsia" w:hAnsiTheme="minorEastAsia"/>
        </w:rPr>
      </w:pPr>
      <w:r w:rsidRPr="0089741C">
        <w:rPr>
          <w:rFonts w:asciiTheme="minorEastAsia" w:hAnsiTheme="minorEastAsia" w:hint="eastAsia"/>
        </w:rPr>
        <w:t>英文社名：</w:t>
      </w:r>
      <w:proofErr w:type="spellStart"/>
      <w:r w:rsidRPr="0089741C">
        <w:rPr>
          <w:rFonts w:asciiTheme="minorEastAsia" w:hAnsiTheme="minorEastAsia" w:hint="eastAsia"/>
        </w:rPr>
        <w:t>livestar</w:t>
      </w:r>
      <w:proofErr w:type="spellEnd"/>
      <w:r w:rsidRPr="0089741C">
        <w:rPr>
          <w:rFonts w:asciiTheme="minorEastAsia" w:hAnsiTheme="minorEastAsia" w:hint="eastAsia"/>
        </w:rPr>
        <w:t xml:space="preserve"> Securities Co., Ltd.</w:t>
      </w:r>
    </w:p>
    <w:p w:rsidR="00F0508A" w:rsidRPr="0089741C" w:rsidRDefault="00F0508A" w:rsidP="00F0508A">
      <w:pPr>
        <w:rPr>
          <w:rFonts w:asciiTheme="minorEastAsia" w:hAnsiTheme="minorEastAsia"/>
        </w:rPr>
      </w:pPr>
      <w:r w:rsidRPr="0089741C">
        <w:rPr>
          <w:rFonts w:asciiTheme="minorEastAsia" w:hAnsiTheme="minorEastAsia" w:hint="eastAsia"/>
        </w:rPr>
        <w:t>本店所在地：〒100-6217　東京都千代田区丸の内1-11-1　パシフィックセンチュリー</w:t>
      </w:r>
    </w:p>
    <w:p w:rsidR="00F0508A" w:rsidRPr="0089741C" w:rsidRDefault="00F0508A" w:rsidP="00F0508A">
      <w:pPr>
        <w:rPr>
          <w:rFonts w:asciiTheme="minorEastAsia" w:hAnsiTheme="minorEastAsia"/>
        </w:rPr>
      </w:pPr>
      <w:r w:rsidRPr="0089741C">
        <w:rPr>
          <w:rFonts w:asciiTheme="minorEastAsia" w:hAnsiTheme="minorEastAsia" w:hint="eastAsia"/>
        </w:rPr>
        <w:lastRenderedPageBreak/>
        <w:t>プレイス丸の内 17階</w:t>
      </w:r>
    </w:p>
    <w:p w:rsidR="00F0508A" w:rsidRPr="0089741C" w:rsidRDefault="00F0508A" w:rsidP="00F0508A">
      <w:pPr>
        <w:rPr>
          <w:rFonts w:asciiTheme="minorEastAsia" w:hAnsiTheme="minorEastAsia"/>
        </w:rPr>
      </w:pPr>
      <w:r w:rsidRPr="0089741C">
        <w:rPr>
          <w:rFonts w:asciiTheme="minorEastAsia" w:hAnsiTheme="minorEastAsia" w:hint="eastAsia"/>
        </w:rPr>
        <w:t>設立：昭和23年4月22日</w:t>
      </w:r>
    </w:p>
    <w:p w:rsidR="00F0508A" w:rsidRPr="0089741C" w:rsidRDefault="00F0508A" w:rsidP="00F0508A">
      <w:pPr>
        <w:rPr>
          <w:rFonts w:asciiTheme="minorEastAsia" w:hAnsiTheme="minorEastAsia"/>
        </w:rPr>
      </w:pPr>
      <w:r w:rsidRPr="0089741C">
        <w:rPr>
          <w:rFonts w:asciiTheme="minorEastAsia" w:hAnsiTheme="minorEastAsia" w:hint="eastAsia"/>
        </w:rPr>
        <w:t>資本金：21億円</w:t>
      </w:r>
    </w:p>
    <w:p w:rsidR="00F0508A" w:rsidRPr="0089741C" w:rsidRDefault="00F0508A" w:rsidP="00F0508A">
      <w:pPr>
        <w:rPr>
          <w:rFonts w:asciiTheme="minorEastAsia" w:hAnsiTheme="minorEastAsia"/>
        </w:rPr>
      </w:pPr>
      <w:r w:rsidRPr="0089741C">
        <w:rPr>
          <w:rFonts w:asciiTheme="minorEastAsia" w:hAnsiTheme="minorEastAsia" w:hint="eastAsia"/>
        </w:rPr>
        <w:t>業務内容：金融商品取引業（証券取引・店頭外国為替証拠金取引）</w:t>
      </w:r>
    </w:p>
    <w:p w:rsidR="00F0508A" w:rsidRPr="0089741C" w:rsidRDefault="00F0508A" w:rsidP="00F0508A">
      <w:pPr>
        <w:rPr>
          <w:rFonts w:asciiTheme="minorEastAsia" w:hAnsiTheme="minorEastAsia"/>
        </w:rPr>
      </w:pPr>
      <w:r w:rsidRPr="0089741C">
        <w:rPr>
          <w:rFonts w:asciiTheme="minorEastAsia" w:hAnsiTheme="minorEastAsia" w:hint="eastAsia"/>
        </w:rPr>
        <w:t>加入証券取引所：東京証券取引所/大阪証券取引所</w:t>
      </w:r>
    </w:p>
    <w:p w:rsidR="00F0508A" w:rsidRPr="0089741C" w:rsidRDefault="00F0508A" w:rsidP="00F0508A">
      <w:pPr>
        <w:rPr>
          <w:rFonts w:asciiTheme="minorEastAsia" w:hAnsiTheme="minorEastAsia"/>
        </w:rPr>
      </w:pPr>
      <w:r w:rsidRPr="0089741C">
        <w:rPr>
          <w:rFonts w:asciiTheme="minorEastAsia" w:hAnsiTheme="minorEastAsia" w:hint="eastAsia"/>
        </w:rPr>
        <w:t>加入協会：日本証券業協会/一般社団法人　金融先物取引業協会</w:t>
      </w:r>
    </w:p>
    <w:p w:rsidR="00F0508A" w:rsidRPr="0089741C" w:rsidRDefault="00F0508A" w:rsidP="00F0508A">
      <w:pPr>
        <w:rPr>
          <w:rFonts w:asciiTheme="minorEastAsia" w:hAnsiTheme="minorEastAsia"/>
        </w:rPr>
      </w:pPr>
    </w:p>
    <w:p w:rsidR="00F0508A" w:rsidRPr="0089741C" w:rsidRDefault="00F0508A" w:rsidP="00F0508A">
      <w:pPr>
        <w:rPr>
          <w:rFonts w:asciiTheme="minorEastAsia" w:hAnsiTheme="minorEastAsia"/>
        </w:rPr>
      </w:pPr>
      <w:r w:rsidRPr="0089741C">
        <w:rPr>
          <w:rFonts w:asciiTheme="minorEastAsia" w:hAnsiTheme="minorEastAsia" w:hint="eastAsia"/>
        </w:rPr>
        <w:t>【</w:t>
      </w:r>
      <w:r w:rsidR="00882D6F" w:rsidRPr="0089741C">
        <w:rPr>
          <w:rFonts w:asciiTheme="minorEastAsia" w:hAnsiTheme="minorEastAsia" w:hint="eastAsia"/>
        </w:rPr>
        <w:t>国内株式等のお取引に関するリスク及び手数料等について</w:t>
      </w:r>
      <w:r w:rsidRPr="0089741C">
        <w:rPr>
          <w:rFonts w:asciiTheme="minorEastAsia" w:hAnsiTheme="minorEastAsia" w:hint="eastAsia"/>
        </w:rPr>
        <w:t>】</w:t>
      </w:r>
    </w:p>
    <w:p w:rsidR="00882D6F" w:rsidRPr="0089741C" w:rsidRDefault="00882D6F" w:rsidP="00882D6F">
      <w:pPr>
        <w:rPr>
          <w:rFonts w:asciiTheme="minorEastAsia" w:hAnsiTheme="minorEastAsia"/>
        </w:rPr>
      </w:pPr>
      <w:r w:rsidRPr="0089741C">
        <w:rPr>
          <w:rFonts w:asciiTheme="minorEastAsia" w:hAnsiTheme="minorEastAsia" w:hint="eastAsia"/>
        </w:rPr>
        <w:t>株式投資等は株価等の変動により、投資元本を割り込むおそれがあります。また、信用取引は委託保証金の約3倍までのお取引ができるため、株価等の変動により委託保証金の額を上回る損失が生じるおそれがあります。</w:t>
      </w:r>
    </w:p>
    <w:p w:rsidR="00882D6F" w:rsidRPr="0089741C" w:rsidRDefault="00882D6F" w:rsidP="00882D6F">
      <w:pPr>
        <w:rPr>
          <w:rFonts w:asciiTheme="minorEastAsia" w:hAnsiTheme="minorEastAsia"/>
        </w:rPr>
      </w:pPr>
    </w:p>
    <w:p w:rsidR="00882D6F" w:rsidRPr="0089741C" w:rsidRDefault="00882D6F" w:rsidP="00882D6F">
      <w:pPr>
        <w:rPr>
          <w:rFonts w:asciiTheme="minorEastAsia" w:hAnsiTheme="minorEastAsia"/>
        </w:rPr>
      </w:pPr>
      <w:r w:rsidRPr="0089741C">
        <w:rPr>
          <w:rFonts w:asciiTheme="minorEastAsia" w:hAnsiTheme="minorEastAsia" w:hint="eastAsia"/>
        </w:rPr>
        <w:t>証券オンライントレードの取引手数料は各商品・各コースにより異なりますが、1注文ごとの手数料体系では、最低80円（税抜）から最大800円（税抜）までとなります。ただし、強制決済の場合には約定代金×1.00％の手数料（税抜：最低手数料2,000円）が適用されます。</w:t>
      </w:r>
    </w:p>
    <w:p w:rsidR="00882D6F" w:rsidRPr="0089741C" w:rsidRDefault="00882D6F" w:rsidP="00882D6F">
      <w:pPr>
        <w:rPr>
          <w:rFonts w:asciiTheme="minorEastAsia" w:hAnsiTheme="minorEastAsia"/>
        </w:rPr>
      </w:pPr>
    </w:p>
    <w:p w:rsidR="00882D6F" w:rsidRPr="0089741C" w:rsidRDefault="00882D6F" w:rsidP="00882D6F">
      <w:pPr>
        <w:rPr>
          <w:rFonts w:asciiTheme="minorEastAsia" w:hAnsiTheme="minorEastAsia"/>
        </w:rPr>
      </w:pPr>
      <w:r w:rsidRPr="0089741C">
        <w:rPr>
          <w:rFonts w:asciiTheme="minorEastAsia" w:hAnsiTheme="minorEastAsia" w:hint="eastAsia"/>
        </w:rPr>
        <w:t>また、信用取引においては、手数料のほかに金利、貸株料、品貸料（逆日歩）、信用取引管理料等の諸費用が必要です。信用取引の委託保証金は売買代金の30％以上かつ30万円以上の額が必要です。</w:t>
      </w:r>
    </w:p>
    <w:p w:rsidR="00882D6F" w:rsidRPr="0089741C" w:rsidRDefault="00882D6F" w:rsidP="00882D6F">
      <w:pPr>
        <w:rPr>
          <w:rFonts w:asciiTheme="minorEastAsia" w:hAnsiTheme="minorEastAsia"/>
        </w:rPr>
      </w:pPr>
    </w:p>
    <w:p w:rsidR="008E54F8" w:rsidRPr="0089741C" w:rsidRDefault="00882D6F" w:rsidP="00882D6F">
      <w:pPr>
        <w:rPr>
          <w:rFonts w:asciiTheme="minorEastAsia" w:hAnsiTheme="minorEastAsia"/>
        </w:rPr>
      </w:pPr>
      <w:r w:rsidRPr="0089741C">
        <w:rPr>
          <w:rFonts w:asciiTheme="minorEastAsia" w:hAnsiTheme="minorEastAsia" w:hint="eastAsia"/>
        </w:rPr>
        <w:t>実際のお取引に際しては「契約締結前交付書面」および「証券総合取引約款・規程集」等をよくお読みになり、お取引の仕組み、ルール等を十分ご理解の上、お客様ご自身の判断と責任において行っていただきますようお願いいたします。</w:t>
      </w:r>
    </w:p>
    <w:p w:rsidR="00882D6F" w:rsidRPr="0089741C" w:rsidRDefault="00882D6F" w:rsidP="00882D6F">
      <w:pPr>
        <w:rPr>
          <w:rFonts w:asciiTheme="minorEastAsia" w:hAnsiTheme="minorEastAsia"/>
        </w:rPr>
      </w:pPr>
    </w:p>
    <w:p w:rsidR="00882D6F" w:rsidRPr="0089741C" w:rsidRDefault="00882D6F" w:rsidP="00882D6F">
      <w:pPr>
        <w:rPr>
          <w:rFonts w:asciiTheme="minorEastAsia" w:hAnsiTheme="minorEastAsia"/>
        </w:rPr>
      </w:pPr>
    </w:p>
    <w:p w:rsidR="00F0508A" w:rsidRPr="0089741C" w:rsidRDefault="00F0508A" w:rsidP="00F0508A">
      <w:pPr>
        <w:rPr>
          <w:rFonts w:asciiTheme="minorEastAsia" w:hAnsiTheme="minorEastAsia"/>
        </w:rPr>
      </w:pPr>
      <w:r w:rsidRPr="0089741C">
        <w:rPr>
          <w:rFonts w:asciiTheme="minorEastAsia" w:hAnsiTheme="minorEastAsia" w:hint="eastAsia"/>
        </w:rPr>
        <w:t>【本件に関するお問合せ先】</w:t>
      </w:r>
    </w:p>
    <w:p w:rsidR="0089741C" w:rsidRDefault="00F0508A" w:rsidP="00F0508A">
      <w:pPr>
        <w:rPr>
          <w:rFonts w:asciiTheme="minorEastAsia" w:hAnsiTheme="minorEastAsia"/>
        </w:rPr>
      </w:pPr>
      <w:r w:rsidRPr="0089741C">
        <w:rPr>
          <w:rFonts w:asciiTheme="minorEastAsia" w:hAnsiTheme="minorEastAsia" w:hint="eastAsia"/>
        </w:rPr>
        <w:t>株式会社ライブスター証券　金融統括本部（山口）</w:t>
      </w:r>
    </w:p>
    <w:p w:rsidR="0089741C" w:rsidRDefault="001E5423" w:rsidP="00F0508A">
      <w:pPr>
        <w:rPr>
          <w:rFonts w:asciiTheme="minorEastAsia" w:hAnsiTheme="minorEastAsia"/>
        </w:rPr>
      </w:pPr>
      <w:hyperlink r:id="rId9" w:history="1">
        <w:r w:rsidR="0089741C" w:rsidRPr="00043662">
          <w:rPr>
            <w:rStyle w:val="a7"/>
            <w:rFonts w:asciiTheme="minorEastAsia" w:hAnsiTheme="minorEastAsia" w:hint="eastAsia"/>
          </w:rPr>
          <w:t>TEL:03-5221-5104</w:t>
        </w:r>
      </w:hyperlink>
    </w:p>
    <w:p w:rsidR="00F0508A" w:rsidRPr="0089741C" w:rsidRDefault="001E5423" w:rsidP="00F0508A">
      <w:pPr>
        <w:rPr>
          <w:rFonts w:asciiTheme="minorEastAsia" w:hAnsiTheme="minorEastAsia"/>
        </w:rPr>
      </w:pPr>
      <w:hyperlink r:id="rId10" w:history="1">
        <w:r w:rsidR="00A34A36" w:rsidRPr="0089741C">
          <w:rPr>
            <w:rStyle w:val="a7"/>
            <w:rFonts w:asciiTheme="minorEastAsia" w:hAnsiTheme="minorEastAsia"/>
          </w:rPr>
          <w:t>http://www.live-sec.co.jp/</w:t>
        </w:r>
      </w:hyperlink>
    </w:p>
    <w:p w:rsidR="00BE301E" w:rsidRPr="0089741C" w:rsidRDefault="00BE301E">
      <w:pPr>
        <w:rPr>
          <w:rFonts w:asciiTheme="minorEastAsia" w:hAnsiTheme="minorEastAsia"/>
        </w:rPr>
      </w:pPr>
    </w:p>
    <w:sectPr w:rsidR="00BE301E" w:rsidRPr="0089741C" w:rsidSect="00BE301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A37" w:rsidRDefault="00C52A37" w:rsidP="002F72F6">
      <w:r>
        <w:separator/>
      </w:r>
    </w:p>
  </w:endnote>
  <w:endnote w:type="continuationSeparator" w:id="0">
    <w:p w:rsidR="00C52A37" w:rsidRDefault="00C52A37" w:rsidP="002F72F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A37" w:rsidRDefault="00C52A37" w:rsidP="002F72F6">
      <w:r>
        <w:separator/>
      </w:r>
    </w:p>
  </w:footnote>
  <w:footnote w:type="continuationSeparator" w:id="0">
    <w:p w:rsidR="00C52A37" w:rsidRDefault="00C52A37" w:rsidP="002F72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508A"/>
    <w:rsid w:val="000537FD"/>
    <w:rsid w:val="001C720B"/>
    <w:rsid w:val="001E5423"/>
    <w:rsid w:val="002F72F6"/>
    <w:rsid w:val="00397B37"/>
    <w:rsid w:val="00403F41"/>
    <w:rsid w:val="005B6F07"/>
    <w:rsid w:val="007A7DE9"/>
    <w:rsid w:val="007D07A0"/>
    <w:rsid w:val="00882D6F"/>
    <w:rsid w:val="0089259D"/>
    <w:rsid w:val="0089741C"/>
    <w:rsid w:val="008A633D"/>
    <w:rsid w:val="008E54F8"/>
    <w:rsid w:val="00965BC7"/>
    <w:rsid w:val="00A135E9"/>
    <w:rsid w:val="00A34A36"/>
    <w:rsid w:val="00A64A70"/>
    <w:rsid w:val="00A81C5A"/>
    <w:rsid w:val="00B92E5E"/>
    <w:rsid w:val="00BE301E"/>
    <w:rsid w:val="00BF2212"/>
    <w:rsid w:val="00C2728E"/>
    <w:rsid w:val="00C52A37"/>
    <w:rsid w:val="00DD7B5E"/>
    <w:rsid w:val="00F0508A"/>
    <w:rsid w:val="00F524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72F6"/>
    <w:pPr>
      <w:tabs>
        <w:tab w:val="center" w:pos="4252"/>
        <w:tab w:val="right" w:pos="8504"/>
      </w:tabs>
      <w:snapToGrid w:val="0"/>
    </w:pPr>
  </w:style>
  <w:style w:type="character" w:customStyle="1" w:styleId="a4">
    <w:name w:val="ヘッダー (文字)"/>
    <w:basedOn w:val="a0"/>
    <w:link w:val="a3"/>
    <w:uiPriority w:val="99"/>
    <w:semiHidden/>
    <w:rsid w:val="002F72F6"/>
  </w:style>
  <w:style w:type="paragraph" w:styleId="a5">
    <w:name w:val="footer"/>
    <w:basedOn w:val="a"/>
    <w:link w:val="a6"/>
    <w:uiPriority w:val="99"/>
    <w:semiHidden/>
    <w:unhideWhenUsed/>
    <w:rsid w:val="002F72F6"/>
    <w:pPr>
      <w:tabs>
        <w:tab w:val="center" w:pos="4252"/>
        <w:tab w:val="right" w:pos="8504"/>
      </w:tabs>
      <w:snapToGrid w:val="0"/>
    </w:pPr>
  </w:style>
  <w:style w:type="character" w:customStyle="1" w:styleId="a6">
    <w:name w:val="フッター (文字)"/>
    <w:basedOn w:val="a0"/>
    <w:link w:val="a5"/>
    <w:uiPriority w:val="99"/>
    <w:semiHidden/>
    <w:rsid w:val="002F72F6"/>
  </w:style>
  <w:style w:type="character" w:styleId="a7">
    <w:name w:val="Hyperlink"/>
    <w:basedOn w:val="a0"/>
    <w:uiPriority w:val="99"/>
    <w:unhideWhenUsed/>
    <w:rsid w:val="00A64A70"/>
    <w:rPr>
      <w:color w:val="0000FF" w:themeColor="hyperlink"/>
      <w:u w:val="single"/>
    </w:rPr>
  </w:style>
  <w:style w:type="paragraph" w:styleId="a8">
    <w:name w:val="Date"/>
    <w:basedOn w:val="a"/>
    <w:next w:val="a"/>
    <w:link w:val="a9"/>
    <w:uiPriority w:val="99"/>
    <w:semiHidden/>
    <w:unhideWhenUsed/>
    <w:rsid w:val="00BF2212"/>
  </w:style>
  <w:style w:type="character" w:customStyle="1" w:styleId="a9">
    <w:name w:val="日付 (文字)"/>
    <w:basedOn w:val="a0"/>
    <w:link w:val="a8"/>
    <w:uiPriority w:val="99"/>
    <w:semiHidden/>
    <w:rsid w:val="00BF2212"/>
  </w:style>
  <w:style w:type="paragraph" w:styleId="aa">
    <w:name w:val="Balloon Text"/>
    <w:basedOn w:val="a"/>
    <w:link w:val="ab"/>
    <w:uiPriority w:val="99"/>
    <w:semiHidden/>
    <w:unhideWhenUsed/>
    <w:rsid w:val="00882D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82D6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735002090">
      <w:bodyDiv w:val="1"/>
      <w:marLeft w:val="0"/>
      <w:marRight w:val="0"/>
      <w:marTop w:val="0"/>
      <w:marBottom w:val="0"/>
      <w:divBdr>
        <w:top w:val="none" w:sz="0" w:space="0" w:color="auto"/>
        <w:left w:val="none" w:sz="0" w:space="0" w:color="auto"/>
        <w:bottom w:val="none" w:sz="0" w:space="0" w:color="auto"/>
        <w:right w:val="none" w:sz="0" w:space="0" w:color="auto"/>
      </w:divBdr>
    </w:div>
    <w:div w:id="197348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ive-sec.co.jp/" TargetMode="External"/><Relationship Id="rId4" Type="http://schemas.openxmlformats.org/officeDocument/2006/relationships/webSettings" Target="webSettings.xml"/><Relationship Id="rId9" Type="http://schemas.openxmlformats.org/officeDocument/2006/relationships/hyperlink" Target="TEL:03-5221-510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E5164-27D1-4949-A3B0-CA21CB68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ライブスター証券</dc:creator>
  <cp:lastModifiedBy>ライブスター証券</cp:lastModifiedBy>
  <cp:revision>6</cp:revision>
  <cp:lastPrinted>2014-11-28T05:49:00Z</cp:lastPrinted>
  <dcterms:created xsi:type="dcterms:W3CDTF">2014-11-28T01:22:00Z</dcterms:created>
  <dcterms:modified xsi:type="dcterms:W3CDTF">2014-11-28T08:14:00Z</dcterms:modified>
</cp:coreProperties>
</file>